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Arial" w:cs="Arial" w:eastAsia="Arial" w:hAnsi="Arial"/>
          <w:b/>
          <w:bCs/>
          <w:color w:val="0D9488"/>
          <w:sz w:val="56"/>
          <w:szCs w:val="56"/>
        </w:rPr>
        <w:t xml:space="preserve">spellbound</w:t>
      </w:r>
    </w:p>
    <w:p>
      <w:pPr>
        <w:spacing w:after="100"/>
        <w:jc w:val="center"/>
      </w:pPr>
      <w:r>
        <w:rPr>
          <w:rFonts w:ascii="Arial" w:cs="Arial" w:eastAsia="Arial" w:hAnsi="Arial"/>
          <w:color w:val="64748B"/>
          <w:sz w:val="24"/>
          <w:szCs w:val="24"/>
        </w:rPr>
        <w:t xml:space="preserve">Spelling Practice for UK Primary Schools</w:t>
      </w:r>
    </w:p>
    <w:p>
      <w:pPr>
        <w:spacing w:after="600"/>
      </w:pPr>
    </w:p>
    <w:p>
      <w:pPr>
        <w:spacing w:after="200"/>
        <w:jc w:val="center"/>
      </w:pPr>
      <w:r>
        <w:rPr>
          <w:rFonts w:ascii="Arial" w:cs="Arial" w:eastAsia="Arial" w:hAnsi="Arial"/>
          <w:b/>
          <w:bCs/>
          <w:color w:val="0F172A"/>
          <w:sz w:val="36"/>
          <w:szCs w:val="36"/>
        </w:rPr>
        <w:t xml:space="preserve">Model Data Processing Agreement (DPA)</w:t>
      </w:r>
    </w:p>
    <w:p>
      <w:pPr>
        <w:spacing w:after="100"/>
        <w:jc w:val="center"/>
      </w:pPr>
      <w:r>
        <w:rPr>
          <w:rFonts w:ascii="Arial" w:cs="Arial" w:eastAsia="Arial" w:hAnsi="Arial"/>
          <w:color w:val="64748B"/>
          <w:sz w:val="24"/>
          <w:szCs w:val="24"/>
        </w:rPr>
        <w:t xml:space="preserve">Under Article 28 UK GDPR</w:t>
      </w:r>
    </w:p>
    <w:p>
      <w:pPr>
        <w:spacing w:after="100"/>
        <w:jc w:val="center"/>
      </w:pPr>
      <w:r>
        <w:rPr>
          <w:rFonts w:ascii="Arial" w:cs="Arial" w:eastAsia="Arial" w:hAnsi="Arial"/>
          <w:color w:val="64748B"/>
          <w:sz w:val="22"/>
          <w:szCs w:val="22"/>
        </w:rPr>
        <w:t xml:space="preserve">March 2026  |  Version 1.0</w:t>
      </w:r>
    </w:p>
    <w:p>
      <w:pPr>
        <w:spacing w:after="800"/>
      </w:pPr>
    </w:p>
    <w:p>
      <w:pPr>
        <w:pBdr>
          <w:top w:val="single" w:color="0D9488" w:sz="4" w:space="8"/>
          <w:bottom w:val="single" w:color="0D9488" w:sz="4" w:space="8"/>
        </w:pBdr>
        <w:spacing w:after="200" w:before="200"/>
        <w:jc w:val="center"/>
      </w:pPr>
      <w:r>
        <w:rPr>
          <w:rFonts w:ascii="Arial" w:cs="Arial" w:eastAsia="Arial" w:hAnsi="Arial"/>
          <w:i/>
          <w:iCs/>
          <w:color w:val="64748B"/>
          <w:sz w:val="20"/>
          <w:szCs w:val="20"/>
        </w:rPr>
        <w:t xml:space="preserve">This is a model Data Processing Agreement provided by Spark Apps Studio Ltd. Schools should review this with their Data Protection Officer and adapt as necessary to reflect their specific governance requirements.</w:t>
      </w:r>
    </w:p>
    <w:p>
      <w:r>
        <w:br w:type="page"/>
      </w:r>
    </w:p>
    <w:p>
      <w:pPr>
        <w:pStyle w:val="Heading1"/>
      </w:pPr>
      <w:r>
        <w:rPr>
          <w:rFonts w:ascii="Arial" w:cs="Arial" w:eastAsia="Arial" w:hAnsi="Arial"/>
          <w:b/>
          <w:bCs/>
          <w:color w:val="0F766E"/>
          <w:sz w:val="32"/>
          <w:szCs w:val="32"/>
        </w:rPr>
        <w:t xml:space="preserve">Parties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Data Controller</w:t>
            </w:r>
          </w:p>
        </w:tc>
        <w:tc>
          <w:tcPr>
            <w:tcW w:type="dxa" w:w="6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[School / Trust name and address]</w:t>
            </w:r>
          </w:p>
        </w:tc>
      </w:tr>
      <w:tr>
        <w:tc>
          <w:tcPr>
            <w:tcW w:type="dxa" w:w="2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Data Processor</w:t>
            </w:r>
          </w:p>
        </w:tc>
        <w:tc>
          <w:tcPr>
            <w:tcW w:type="dxa" w:w="6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Spark Apps Studio Ltd, Suite RA01, 195-197 Wood Street, London, E17 3NU (Company No. 17109011)</w:t>
            </w:r>
          </w:p>
        </w:tc>
      </w:tr>
      <w:tr>
        <w:tc>
          <w:tcPr>
            <w:tcW w:type="dxa" w:w="2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Effective Date</w:t>
            </w:r>
          </w:p>
        </w:tc>
        <w:tc>
          <w:tcPr>
            <w:tcW w:type="dxa" w:w="6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[Date]</w:t>
            </w:r>
          </w:p>
        </w:tc>
      </w:tr>
      <w:tr>
        <w:tc>
          <w:tcPr>
            <w:tcW w:type="dxa" w:w="2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Duration</w:t>
            </w:r>
          </w:p>
        </w:tc>
        <w:tc>
          <w:tcPr>
            <w:tcW w:type="dxa" w:w="6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Co-terminus with the school’s use of spellbound. This Agreement terminates when the school ceases to use the service and all personal data has been deleted.</w:t>
            </w:r>
          </w:p>
        </w:tc>
      </w:tr>
    </w:tbl>
    <w:p>
      <w:pPr>
        <w:spacing w:after="150" w:before="300"/>
      </w:pPr>
      <w:r>
        <w:rPr>
          <w:rFonts w:ascii="Arial" w:cs="Arial" w:eastAsia="Arial" w:hAnsi="Arial"/>
          <w:b/>
          <w:bCs/>
          <w:color w:val="0F766E"/>
          <w:sz w:val="24"/>
          <w:szCs w:val="24"/>
        </w:rPr>
        <w:t xml:space="preserve">1. Definitions</w:t>
      </w:r>
    </w:p>
    <w:p>
      <w:pPr>
        <w:spacing w:after="80"/>
        <w:ind w:left="360"/>
      </w:pPr>
      <w:r>
        <w:rPr>
          <w:rFonts w:ascii="Arial" w:cs="Arial" w:eastAsia="Arial" w:hAnsi="Arial"/>
          <w:b/>
          <w:bCs/>
          <w:color w:val="0F172A"/>
          <w:sz w:val="21"/>
          <w:szCs w:val="21"/>
        </w:rPr>
        <w:t xml:space="preserve">1.1 </w:t>
      </w:r>
      <w:r>
        <w:rPr>
          <w:rFonts w:ascii="Arial" w:cs="Arial" w:eastAsia="Arial" w:hAnsi="Arial"/>
          <w:color w:val="0F172A"/>
          <w:sz w:val="21"/>
          <w:szCs w:val="21"/>
        </w:rPr>
        <w:t xml:space="preserve">“Personal Data” means any information relating to an identified or identifiable natural person processed by the Processor on behalf of the Controller in connection with the spellbound service.</w:t>
      </w:r>
    </w:p>
    <w:p>
      <w:pPr>
        <w:spacing w:after="80"/>
        <w:ind w:left="360"/>
      </w:pPr>
      <w:r>
        <w:rPr>
          <w:rFonts w:ascii="Arial" w:cs="Arial" w:eastAsia="Arial" w:hAnsi="Arial"/>
          <w:b/>
          <w:bCs/>
          <w:color w:val="0F172A"/>
          <w:sz w:val="21"/>
          <w:szCs w:val="21"/>
        </w:rPr>
        <w:t xml:space="preserve">1.2 </w:t>
      </w:r>
      <w:r>
        <w:rPr>
          <w:rFonts w:ascii="Arial" w:cs="Arial" w:eastAsia="Arial" w:hAnsi="Arial"/>
          <w:color w:val="0F172A"/>
          <w:sz w:val="21"/>
          <w:szCs w:val="21"/>
        </w:rPr>
        <w:t xml:space="preserve">“Processing” means any operation performed on Personal Data, including collection, storage, alteration, retrieval, use, disclosure, and erasure.</w:t>
      </w:r>
    </w:p>
    <w:p>
      <w:pPr>
        <w:spacing w:after="80"/>
        <w:ind w:left="360"/>
      </w:pPr>
      <w:r>
        <w:rPr>
          <w:rFonts w:ascii="Arial" w:cs="Arial" w:eastAsia="Arial" w:hAnsi="Arial"/>
          <w:b/>
          <w:bCs/>
          <w:color w:val="0F172A"/>
          <w:sz w:val="21"/>
          <w:szCs w:val="21"/>
        </w:rPr>
        <w:t xml:space="preserve">1.3 </w:t>
      </w:r>
      <w:r>
        <w:rPr>
          <w:rFonts w:ascii="Arial" w:cs="Arial" w:eastAsia="Arial" w:hAnsi="Arial"/>
          <w:color w:val="0F172A"/>
          <w:sz w:val="21"/>
          <w:szCs w:val="21"/>
        </w:rPr>
        <w:t xml:space="preserve">“UK GDPR” means the General Data Protection Regulation as retained in UK law by the European Union (Withdrawal) Act 2018 and the Data Protection Act 2018.</w:t>
      </w:r>
    </w:p>
    <w:p>
      <w:pPr>
        <w:spacing w:after="80"/>
        <w:ind w:left="360"/>
      </w:pPr>
      <w:r>
        <w:rPr>
          <w:rFonts w:ascii="Arial" w:cs="Arial" w:eastAsia="Arial" w:hAnsi="Arial"/>
          <w:b/>
          <w:bCs/>
          <w:color w:val="0F172A"/>
          <w:sz w:val="21"/>
          <w:szCs w:val="21"/>
        </w:rPr>
        <w:t xml:space="preserve">1.4 </w:t>
      </w:r>
      <w:r>
        <w:rPr>
          <w:rFonts w:ascii="Arial" w:cs="Arial" w:eastAsia="Arial" w:hAnsi="Arial"/>
          <w:color w:val="0F172A"/>
          <w:sz w:val="21"/>
          <w:szCs w:val="21"/>
        </w:rPr>
        <w:t xml:space="preserve">“Data Subjects” means the individuals whose Personal Data is processed, being school staff members and learners (pupils).</w:t>
      </w:r>
    </w:p>
    <w:p>
      <w:pPr>
        <w:spacing w:after="150" w:before="300"/>
      </w:pPr>
      <w:r>
        <w:rPr>
          <w:rFonts w:ascii="Arial" w:cs="Arial" w:eastAsia="Arial" w:hAnsi="Arial"/>
          <w:b/>
          <w:bCs/>
          <w:color w:val="0F766E"/>
          <w:sz w:val="24"/>
          <w:szCs w:val="24"/>
        </w:rPr>
        <w:t xml:space="preserve">2. Subject Matter and Details of the Processing</w:t>
      </w:r>
    </w:p>
    <w:p>
      <w:pPr>
        <w:spacing w:after="80"/>
        <w:ind w:left="360"/>
      </w:pPr>
      <w:r>
        <w:rPr>
          <w:rFonts w:ascii="Arial" w:cs="Arial" w:eastAsia="Arial" w:hAnsi="Arial"/>
          <w:b/>
          <w:bCs/>
          <w:color w:val="0F172A"/>
          <w:sz w:val="21"/>
          <w:szCs w:val="21"/>
        </w:rPr>
        <w:t xml:space="preserve">2.1 </w:t>
      </w:r>
      <w:r>
        <w:rPr>
          <w:rFonts w:ascii="Arial" w:cs="Arial" w:eastAsia="Arial" w:hAnsi="Arial"/>
          <w:color w:val="0F172A"/>
          <w:sz w:val="21"/>
          <w:szCs w:val="21"/>
        </w:rPr>
        <w:t xml:space="preserve">The Processor shall process Personal Data on behalf of the Controller for the purpose of providing the spellbound spelling practice platform.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Detail</w:t>
            </w:r>
          </w:p>
        </w:tc>
        <w:tc>
          <w:tcPr>
            <w:tcW w:type="dxa" w:w="6026"/>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Description</w:t>
            </w:r>
          </w:p>
        </w:tc>
      </w:tr>
      <w:tr>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Nature and purpose</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Provision of an online spelling practice platform for primary school learners, including adaptive word selection, progress tracking, and teacher reporting.</w:t>
            </w:r>
          </w:p>
        </w:tc>
      </w:tr>
      <w:tr>
        <w:tc>
          <w:tcPr>
            <w:tcW w:type="dxa" w:w="3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Categories of Data Subjects</w:t>
            </w:r>
          </w:p>
        </w:tc>
        <w:tc>
          <w:tcPr>
            <w:tcW w:type="dxa" w:w="60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School staff (teachers, administrators) and learners (pupils, Key Stages 1 and 2).</w:t>
            </w:r>
          </w:p>
        </w:tc>
      </w:tr>
      <w:tr>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Types of Personal Data</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Staff: email address, display name, hashed password, school name (optional), school logo (optional). Learners: pseudonymous access codes, display codes, spelling attempt data (answers, correctness, response times), mastery progress. Technical: IP addresses (rate limiting, audit logs), session cookies.</w:t>
            </w:r>
          </w:p>
        </w:tc>
      </w:tr>
      <w:tr>
        <w:tc>
          <w:tcPr>
            <w:tcW w:type="dxa" w:w="3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Special Category Data</w:t>
            </w:r>
          </w:p>
        </w:tc>
        <w:tc>
          <w:tcPr>
            <w:tcW w:type="dxa" w:w="60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None. No special category data is processed.</w:t>
            </w:r>
          </w:p>
        </w:tc>
      </w:tr>
      <w:tr>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Duration</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For the duration of the school’s use of spellbound, subject to automatic data retention and purge policies (12 months for inactive learners, 24 months for archived classes).</w:t>
            </w:r>
          </w:p>
        </w:tc>
      </w:tr>
    </w:tbl>
    <w:p>
      <w:pPr>
        <w:spacing w:after="150" w:before="300"/>
      </w:pPr>
      <w:r>
        <w:rPr>
          <w:rFonts w:ascii="Arial" w:cs="Arial" w:eastAsia="Arial" w:hAnsi="Arial"/>
          <w:b/>
          <w:bCs/>
          <w:color w:val="0F766E"/>
          <w:sz w:val="24"/>
          <w:szCs w:val="24"/>
        </w:rPr>
        <w:t xml:space="preserve">3. Obligations of the Processor</w:t>
      </w:r>
    </w:p>
    <w:p>
      <w:pPr>
        <w:spacing w:after="80"/>
        <w:ind w:left="360"/>
      </w:pPr>
      <w:r>
        <w:rPr>
          <w:rFonts w:ascii="Arial" w:cs="Arial" w:eastAsia="Arial" w:hAnsi="Arial"/>
          <w:b/>
          <w:bCs/>
          <w:color w:val="0F172A"/>
          <w:sz w:val="21"/>
          <w:szCs w:val="21"/>
        </w:rPr>
        <w:t xml:space="preserve">3.1 </w:t>
      </w:r>
      <w:r>
        <w:rPr>
          <w:rFonts w:ascii="Arial" w:cs="Arial" w:eastAsia="Arial" w:hAnsi="Arial"/>
          <w:color w:val="0F172A"/>
          <w:sz w:val="21"/>
          <w:szCs w:val="21"/>
        </w:rPr>
        <w:t xml:space="preserve">The Processor shall process Personal Data only on documented instructions from the Controller, unless required to do so by law.</w:t>
      </w:r>
    </w:p>
    <w:p>
      <w:pPr>
        <w:spacing w:after="80"/>
        <w:ind w:left="360"/>
      </w:pPr>
      <w:r>
        <w:rPr>
          <w:rFonts w:ascii="Arial" w:cs="Arial" w:eastAsia="Arial" w:hAnsi="Arial"/>
          <w:b/>
          <w:bCs/>
          <w:color w:val="0F172A"/>
          <w:sz w:val="21"/>
          <w:szCs w:val="21"/>
        </w:rPr>
        <w:t xml:space="preserve">3.2 </w:t>
      </w:r>
      <w:r>
        <w:rPr>
          <w:rFonts w:ascii="Arial" w:cs="Arial" w:eastAsia="Arial" w:hAnsi="Arial"/>
          <w:color w:val="0F172A"/>
          <w:sz w:val="21"/>
          <w:szCs w:val="21"/>
        </w:rPr>
        <w:t xml:space="preserve">The Processor shall ensure that persons authorised to process Personal Data have committed themselves to confidentiality.</w:t>
      </w:r>
    </w:p>
    <w:p>
      <w:pPr>
        <w:spacing w:after="80"/>
        <w:ind w:left="360"/>
      </w:pPr>
      <w:r>
        <w:rPr>
          <w:rFonts w:ascii="Arial" w:cs="Arial" w:eastAsia="Arial" w:hAnsi="Arial"/>
          <w:b/>
          <w:bCs/>
          <w:color w:val="0F172A"/>
          <w:sz w:val="21"/>
          <w:szCs w:val="21"/>
        </w:rPr>
        <w:t xml:space="preserve">3.3 </w:t>
      </w:r>
      <w:r>
        <w:rPr>
          <w:rFonts w:ascii="Arial" w:cs="Arial" w:eastAsia="Arial" w:hAnsi="Arial"/>
          <w:color w:val="0F172A"/>
          <w:sz w:val="21"/>
          <w:szCs w:val="21"/>
        </w:rPr>
        <w:t xml:space="preserve">The Processor shall implement appropriate technical and organisational security measures, including:</w:t>
      </w:r>
    </w:p>
    <w:p>
      <w:pPr>
        <w:pStyle w:val="ListParagraph"/>
        <w:numPr>
          <w:ilvl w:val="0"/>
          <w:numId w:val="2"/>
        </w:numPr>
        <w:spacing w:after="60"/>
        <w:ind w:left="720"/>
      </w:pPr>
      <w:r>
        <w:rPr>
          <w:rFonts w:ascii="Arial" w:cs="Arial" w:eastAsia="Arial" w:hAnsi="Arial"/>
          <w:sz w:val="21"/>
          <w:szCs w:val="21"/>
        </w:rPr>
        <w:t xml:space="preserve">Encryption at rest (AES-256) and in transit (TLS) for all personal data</w:t>
      </w:r>
    </w:p>
    <w:p>
      <w:pPr>
        <w:pStyle w:val="ListParagraph"/>
        <w:numPr>
          <w:ilvl w:val="0"/>
          <w:numId w:val="2"/>
        </w:numPr>
        <w:spacing w:after="60"/>
        <w:ind w:left="720"/>
      </w:pPr>
      <w:r>
        <w:rPr>
          <w:rFonts w:ascii="Arial" w:cs="Arial" w:eastAsia="Arial" w:hAnsi="Arial"/>
          <w:sz w:val="21"/>
          <w:szCs w:val="21"/>
        </w:rPr>
        <w:t xml:space="preserve">bcrypt password hashing with 12 rounds</w:t>
      </w:r>
    </w:p>
    <w:p>
      <w:pPr>
        <w:pStyle w:val="ListParagraph"/>
        <w:numPr>
          <w:ilvl w:val="0"/>
          <w:numId w:val="2"/>
        </w:numPr>
        <w:spacing w:after="60"/>
        <w:ind w:left="720"/>
      </w:pPr>
      <w:r>
        <w:rPr>
          <w:rFonts w:ascii="Arial" w:cs="Arial" w:eastAsia="Arial" w:hAnsi="Arial"/>
          <w:sz w:val="21"/>
          <w:szCs w:val="21"/>
        </w:rPr>
        <w:t xml:space="preserve">HMAC-SHA256 signed session tokens with httpOnly, secure, SameSite cookies</w:t>
      </w:r>
    </w:p>
    <w:p>
      <w:pPr>
        <w:pStyle w:val="ListParagraph"/>
        <w:numPr>
          <w:ilvl w:val="0"/>
          <w:numId w:val="2"/>
        </w:numPr>
        <w:spacing w:after="60"/>
        <w:ind w:left="720"/>
      </w:pPr>
      <w:r>
        <w:rPr>
          <w:rFonts w:ascii="Arial" w:cs="Arial" w:eastAsia="Arial" w:hAnsi="Arial"/>
          <w:sz w:val="21"/>
          <w:szCs w:val="21"/>
        </w:rPr>
        <w:t xml:space="preserve">Rate limiting on all authentication endpoints</w:t>
      </w:r>
    </w:p>
    <w:p>
      <w:pPr>
        <w:pStyle w:val="ListParagraph"/>
        <w:numPr>
          <w:ilvl w:val="0"/>
          <w:numId w:val="2"/>
        </w:numPr>
        <w:spacing w:after="60"/>
        <w:ind w:left="720"/>
      </w:pPr>
      <w:r>
        <w:rPr>
          <w:rFonts w:ascii="Arial" w:cs="Arial" w:eastAsia="Arial" w:hAnsi="Arial"/>
          <w:sz w:val="21"/>
          <w:szCs w:val="21"/>
        </w:rPr>
        <w:t xml:space="preserve">Security headers: CSP, HSTS, X-Frame-Options, Referrer-Policy</w:t>
      </w:r>
    </w:p>
    <w:p>
      <w:pPr>
        <w:pStyle w:val="ListParagraph"/>
        <w:numPr>
          <w:ilvl w:val="0"/>
          <w:numId w:val="2"/>
        </w:numPr>
        <w:spacing w:after="60"/>
        <w:ind w:left="720"/>
      </w:pPr>
      <w:r>
        <w:rPr>
          <w:rFonts w:ascii="Arial" w:cs="Arial" w:eastAsia="Arial" w:hAnsi="Arial"/>
          <w:sz w:val="21"/>
          <w:szCs w:val="21"/>
        </w:rPr>
        <w:t xml:space="preserve">Audit logging of all significant data processing actions</w:t>
      </w:r>
    </w:p>
    <w:p>
      <w:pPr>
        <w:spacing w:after="80"/>
        <w:ind w:left="360"/>
      </w:pPr>
      <w:r>
        <w:rPr>
          <w:rFonts w:ascii="Arial" w:cs="Arial" w:eastAsia="Arial" w:hAnsi="Arial"/>
          <w:b/>
          <w:bCs/>
          <w:color w:val="0F172A"/>
          <w:sz w:val="21"/>
          <w:szCs w:val="21"/>
        </w:rPr>
        <w:t xml:space="preserve">3.4 </w:t>
      </w:r>
      <w:r>
        <w:rPr>
          <w:rFonts w:ascii="Arial" w:cs="Arial" w:eastAsia="Arial" w:hAnsi="Arial"/>
          <w:color w:val="0F172A"/>
          <w:sz w:val="21"/>
          <w:szCs w:val="21"/>
        </w:rPr>
        <w:t xml:space="preserve">The Processor shall not engage another processor without prior written authorisation of the Controller. The Controller hereby authorises the use of the sub-processors listed in Schedule 1.</w:t>
      </w:r>
    </w:p>
    <w:p>
      <w:pPr>
        <w:spacing w:after="80"/>
        <w:ind w:left="360"/>
      </w:pPr>
      <w:r>
        <w:rPr>
          <w:rFonts w:ascii="Arial" w:cs="Arial" w:eastAsia="Arial" w:hAnsi="Arial"/>
          <w:b/>
          <w:bCs/>
          <w:color w:val="0F172A"/>
          <w:sz w:val="21"/>
          <w:szCs w:val="21"/>
        </w:rPr>
        <w:t xml:space="preserve">3.5 </w:t>
      </w:r>
      <w:r>
        <w:rPr>
          <w:rFonts w:ascii="Arial" w:cs="Arial" w:eastAsia="Arial" w:hAnsi="Arial"/>
          <w:color w:val="0F172A"/>
          <w:sz w:val="21"/>
          <w:szCs w:val="21"/>
        </w:rPr>
        <w:t xml:space="preserve">The Processor shall assist the Controller in ensuring compliance with Articles 32-36 of the UK GDPR (security, breach notification, DPIAs, prior consultation).</w:t>
      </w:r>
    </w:p>
    <w:p>
      <w:pPr>
        <w:spacing w:after="80"/>
        <w:ind w:left="360"/>
      </w:pPr>
      <w:r>
        <w:rPr>
          <w:rFonts w:ascii="Arial" w:cs="Arial" w:eastAsia="Arial" w:hAnsi="Arial"/>
          <w:b/>
          <w:bCs/>
          <w:color w:val="0F172A"/>
          <w:sz w:val="21"/>
          <w:szCs w:val="21"/>
        </w:rPr>
        <w:t xml:space="preserve">3.6 </w:t>
      </w:r>
      <w:r>
        <w:rPr>
          <w:rFonts w:ascii="Arial" w:cs="Arial" w:eastAsia="Arial" w:hAnsi="Arial"/>
          <w:color w:val="0F172A"/>
          <w:sz w:val="21"/>
          <w:szCs w:val="21"/>
        </w:rPr>
        <w:t xml:space="preserve">The Processor shall assist the Controller in responding to requests from Data Subjects to exercise their rights under Chapter III of the UK GDPR, noting that self-service data export and deletion are available within the application.</w:t>
      </w:r>
    </w:p>
    <w:p>
      <w:pPr>
        <w:spacing w:after="150" w:before="300"/>
      </w:pPr>
      <w:r>
        <w:rPr>
          <w:rFonts w:ascii="Arial" w:cs="Arial" w:eastAsia="Arial" w:hAnsi="Arial"/>
          <w:b/>
          <w:bCs/>
          <w:color w:val="0F766E"/>
          <w:sz w:val="24"/>
          <w:szCs w:val="24"/>
        </w:rPr>
        <w:t xml:space="preserve">4. Data Subject Rights</w:t>
      </w:r>
    </w:p>
    <w:p>
      <w:pPr>
        <w:spacing w:after="80"/>
        <w:ind w:left="360"/>
      </w:pPr>
      <w:r>
        <w:rPr>
          <w:rFonts w:ascii="Arial" w:cs="Arial" w:eastAsia="Arial" w:hAnsi="Arial"/>
          <w:b/>
          <w:bCs/>
          <w:color w:val="0F172A"/>
          <w:sz w:val="21"/>
          <w:szCs w:val="21"/>
        </w:rPr>
        <w:t xml:space="preserve">4.1 </w:t>
      </w:r>
      <w:r>
        <w:rPr>
          <w:rFonts w:ascii="Arial" w:cs="Arial" w:eastAsia="Arial" w:hAnsi="Arial"/>
          <w:color w:val="0F172A"/>
          <w:sz w:val="21"/>
          <w:szCs w:val="21"/>
        </w:rPr>
        <w:t xml:space="preserve">The Processor provides self-service mechanisms within spellbound for the following data subject rights:</w:t>
      </w:r>
    </w:p>
    <w:p>
      <w:pPr>
        <w:pStyle w:val="ListParagraph"/>
        <w:numPr>
          <w:ilvl w:val="0"/>
          <w:numId w:val="2"/>
        </w:numPr>
        <w:spacing w:after="60"/>
        <w:ind w:left="720"/>
      </w:pPr>
      <w:r>
        <w:rPr>
          <w:rFonts w:ascii="Arial" w:cs="Arial" w:eastAsia="Arial" w:hAnsi="Arial"/>
          <w:sz w:val="21"/>
          <w:szCs w:val="21"/>
        </w:rPr>
        <w:t xml:space="preserve">Right of access: JSON data export for staff and learner data</w:t>
      </w:r>
    </w:p>
    <w:p>
      <w:pPr>
        <w:pStyle w:val="ListParagraph"/>
        <w:numPr>
          <w:ilvl w:val="0"/>
          <w:numId w:val="2"/>
        </w:numPr>
        <w:spacing w:after="60"/>
        <w:ind w:left="720"/>
      </w:pPr>
      <w:r>
        <w:rPr>
          <w:rFonts w:ascii="Arial" w:cs="Arial" w:eastAsia="Arial" w:hAnsi="Arial"/>
          <w:sz w:val="21"/>
          <w:szCs w:val="21"/>
        </w:rPr>
        <w:t xml:space="preserve">Right to erasure: Self-service deletion for staff accounts, learner profiles, and classes (with cascade)</w:t>
      </w:r>
    </w:p>
    <w:p>
      <w:pPr>
        <w:pStyle w:val="ListParagraph"/>
        <w:numPr>
          <w:ilvl w:val="0"/>
          <w:numId w:val="2"/>
        </w:numPr>
        <w:spacing w:after="60"/>
        <w:ind w:left="720"/>
      </w:pPr>
      <w:r>
        <w:rPr>
          <w:rFonts w:ascii="Arial" w:cs="Arial" w:eastAsia="Arial" w:hAnsi="Arial"/>
          <w:sz w:val="21"/>
          <w:szCs w:val="21"/>
        </w:rPr>
        <w:t xml:space="preserve">Right to data portability: Structured JSON exports</w:t>
      </w:r>
    </w:p>
    <w:p>
      <w:pPr>
        <w:spacing w:after="80"/>
        <w:ind w:left="360"/>
      </w:pPr>
      <w:r>
        <w:rPr>
          <w:rFonts w:ascii="Arial" w:cs="Arial" w:eastAsia="Arial" w:hAnsi="Arial"/>
          <w:b/>
          <w:bCs/>
          <w:color w:val="0F172A"/>
          <w:sz w:val="21"/>
          <w:szCs w:val="21"/>
        </w:rPr>
        <w:t xml:space="preserve">4.2 </w:t>
      </w:r>
      <w:r>
        <w:rPr>
          <w:rFonts w:ascii="Arial" w:cs="Arial" w:eastAsia="Arial" w:hAnsi="Arial"/>
          <w:color w:val="0F172A"/>
          <w:sz w:val="21"/>
          <w:szCs w:val="21"/>
        </w:rPr>
        <w:t xml:space="preserve">For any rights not covered by self-service, the Controller may contact the Processor at privacy@spellbound-edu.co.uk. The Processor will respond within 30 calendar days.</w:t>
      </w:r>
    </w:p>
    <w:p>
      <w:pPr>
        <w:spacing w:after="150" w:before="300"/>
      </w:pPr>
      <w:r>
        <w:rPr>
          <w:rFonts w:ascii="Arial" w:cs="Arial" w:eastAsia="Arial" w:hAnsi="Arial"/>
          <w:b/>
          <w:bCs/>
          <w:color w:val="0F766E"/>
          <w:sz w:val="24"/>
          <w:szCs w:val="24"/>
        </w:rPr>
        <w:t xml:space="preserve">5. Data Breach Notification</w:t>
      </w:r>
    </w:p>
    <w:p>
      <w:pPr>
        <w:spacing w:after="80"/>
        <w:ind w:left="360"/>
      </w:pPr>
      <w:r>
        <w:rPr>
          <w:rFonts w:ascii="Arial" w:cs="Arial" w:eastAsia="Arial" w:hAnsi="Arial"/>
          <w:b/>
          <w:bCs/>
          <w:color w:val="0F172A"/>
          <w:sz w:val="21"/>
          <w:szCs w:val="21"/>
        </w:rPr>
        <w:t xml:space="preserve">5.1 </w:t>
      </w:r>
      <w:r>
        <w:rPr>
          <w:rFonts w:ascii="Arial" w:cs="Arial" w:eastAsia="Arial" w:hAnsi="Arial"/>
          <w:color w:val="0F172A"/>
          <w:sz w:val="21"/>
          <w:szCs w:val="21"/>
        </w:rPr>
        <w:t xml:space="preserve">The Processor shall notify the Controller without undue delay (and in any event within 72 hours) after becoming aware of a personal data breach.</w:t>
      </w:r>
    </w:p>
    <w:p>
      <w:pPr>
        <w:spacing w:after="80"/>
        <w:ind w:left="360"/>
      </w:pPr>
      <w:r>
        <w:rPr>
          <w:rFonts w:ascii="Arial" w:cs="Arial" w:eastAsia="Arial" w:hAnsi="Arial"/>
          <w:b/>
          <w:bCs/>
          <w:color w:val="0F172A"/>
          <w:sz w:val="21"/>
          <w:szCs w:val="21"/>
        </w:rPr>
        <w:t xml:space="preserve">5.2 </w:t>
      </w:r>
      <w:r>
        <w:rPr>
          <w:rFonts w:ascii="Arial" w:cs="Arial" w:eastAsia="Arial" w:hAnsi="Arial"/>
          <w:color w:val="0F172A"/>
          <w:sz w:val="21"/>
          <w:szCs w:val="21"/>
        </w:rPr>
        <w:t xml:space="preserve">The notification shall include: the nature of the breach, categories and approximate number of Data Subjects concerned, likely consequences, and measures taken or proposed to address the breach.</w:t>
      </w:r>
    </w:p>
    <w:p>
      <w:pPr>
        <w:spacing w:after="150" w:before="300"/>
      </w:pPr>
      <w:r>
        <w:rPr>
          <w:rFonts w:ascii="Arial" w:cs="Arial" w:eastAsia="Arial" w:hAnsi="Arial"/>
          <w:b/>
          <w:bCs/>
          <w:color w:val="0F766E"/>
          <w:sz w:val="24"/>
          <w:szCs w:val="24"/>
        </w:rPr>
        <w:t xml:space="preserve">6. International Transfers</w:t>
      </w:r>
    </w:p>
    <w:p>
      <w:pPr>
        <w:spacing w:after="80"/>
        <w:ind w:left="360"/>
      </w:pPr>
      <w:r>
        <w:rPr>
          <w:rFonts w:ascii="Arial" w:cs="Arial" w:eastAsia="Arial" w:hAnsi="Arial"/>
          <w:b/>
          <w:bCs/>
          <w:color w:val="0F172A"/>
          <w:sz w:val="21"/>
          <w:szCs w:val="21"/>
        </w:rPr>
        <w:t xml:space="preserve">6.1 </w:t>
      </w:r>
      <w:r>
        <w:rPr>
          <w:rFonts w:ascii="Arial" w:cs="Arial" w:eastAsia="Arial" w:hAnsi="Arial"/>
          <w:color w:val="0F172A"/>
          <w:sz w:val="21"/>
          <w:szCs w:val="21"/>
        </w:rPr>
        <w:t xml:space="preserve">The Processor stores all primary personal data within the EU (Neon PostgreSQL, London, eu-west-2). No primary personal data is transferred outside the UK/EU.</w:t>
      </w:r>
    </w:p>
    <w:p>
      <w:pPr>
        <w:spacing w:after="80"/>
        <w:ind w:left="360"/>
      </w:pPr>
      <w:r>
        <w:rPr>
          <w:rFonts w:ascii="Arial" w:cs="Arial" w:eastAsia="Arial" w:hAnsi="Arial"/>
          <w:b/>
          <w:bCs/>
          <w:color w:val="0F172A"/>
          <w:sz w:val="21"/>
          <w:szCs w:val="21"/>
        </w:rPr>
        <w:t xml:space="preserve">6.2 </w:t>
      </w:r>
      <w:r>
        <w:rPr>
          <w:rFonts w:ascii="Arial" w:cs="Arial" w:eastAsia="Arial" w:hAnsi="Arial"/>
          <w:color w:val="0F172A"/>
          <w:sz w:val="21"/>
          <w:szCs w:val="21"/>
        </w:rPr>
        <w:t xml:space="preserve">Application hosting (Vercel) involves the processing of request/response data in the United States. This transfer is made under the UK-US Data Bridge (Article 45 UK GDPR adequacy decision).</w:t>
      </w:r>
    </w:p>
    <w:p>
      <w:pPr>
        <w:spacing w:after="80"/>
        <w:ind w:left="360"/>
      </w:pPr>
      <w:r>
        <w:rPr>
          <w:rFonts w:ascii="Arial" w:cs="Arial" w:eastAsia="Arial" w:hAnsi="Arial"/>
          <w:b/>
          <w:bCs/>
          <w:color w:val="0F172A"/>
          <w:sz w:val="21"/>
          <w:szCs w:val="21"/>
        </w:rPr>
        <w:t xml:space="preserve">6.3 </w:t>
      </w:r>
      <w:r>
        <w:rPr>
          <w:rFonts w:ascii="Arial" w:cs="Arial" w:eastAsia="Arial" w:hAnsi="Arial"/>
          <w:color w:val="0F172A"/>
          <w:sz w:val="21"/>
          <w:szCs w:val="21"/>
        </w:rPr>
        <w:t xml:space="preserve">The Processor shall not transfer Personal Data to any country outside the UK without ensuring appropriate safeguards are in place.</w:t>
      </w:r>
    </w:p>
    <w:p>
      <w:pPr>
        <w:spacing w:after="150" w:before="300"/>
      </w:pPr>
      <w:r>
        <w:rPr>
          <w:rFonts w:ascii="Arial" w:cs="Arial" w:eastAsia="Arial" w:hAnsi="Arial"/>
          <w:b/>
          <w:bCs/>
          <w:color w:val="0F766E"/>
          <w:sz w:val="24"/>
          <w:szCs w:val="24"/>
        </w:rPr>
        <w:t xml:space="preserve">7. Data Retention and Deletion</w:t>
      </w:r>
    </w:p>
    <w:p>
      <w:pPr>
        <w:spacing w:after="80"/>
        <w:ind w:left="360"/>
      </w:pPr>
      <w:r>
        <w:rPr>
          <w:rFonts w:ascii="Arial" w:cs="Arial" w:eastAsia="Arial" w:hAnsi="Arial"/>
          <w:b/>
          <w:bCs/>
          <w:color w:val="0F172A"/>
          <w:sz w:val="21"/>
          <w:szCs w:val="21"/>
        </w:rPr>
        <w:t xml:space="preserve">7.1 </w:t>
      </w:r>
      <w:r>
        <w:rPr>
          <w:rFonts w:ascii="Arial" w:cs="Arial" w:eastAsia="Arial" w:hAnsi="Arial"/>
          <w:color w:val="0F172A"/>
          <w:sz w:val="21"/>
          <w:szCs w:val="21"/>
        </w:rPr>
        <w:t xml:space="preserve">The Processor applies the following automatic retention policies: inactive learner data is deleted after 12 months of inactivity; archived class data is deleted after 24 months; audit logs are retained for up to 24 months.</w:t>
      </w:r>
    </w:p>
    <w:p>
      <w:pPr>
        <w:spacing w:after="80"/>
        <w:ind w:left="360"/>
      </w:pPr>
      <w:r>
        <w:rPr>
          <w:rFonts w:ascii="Arial" w:cs="Arial" w:eastAsia="Arial" w:hAnsi="Arial"/>
          <w:b/>
          <w:bCs/>
          <w:color w:val="0F172A"/>
          <w:sz w:val="21"/>
          <w:szCs w:val="21"/>
        </w:rPr>
        <w:t xml:space="preserve">7.2 </w:t>
      </w:r>
      <w:r>
        <w:rPr>
          <w:rFonts w:ascii="Arial" w:cs="Arial" w:eastAsia="Arial" w:hAnsi="Arial"/>
          <w:color w:val="0F172A"/>
          <w:sz w:val="21"/>
          <w:szCs w:val="21"/>
        </w:rPr>
        <w:t xml:space="preserve">Upon termination of this Agreement, the Processor shall delete all Personal Data within 30 days, unless retention is required by law. The Controller may request a data export before termination.</w:t>
      </w:r>
    </w:p>
    <w:p>
      <w:pPr>
        <w:spacing w:after="150" w:before="300"/>
      </w:pPr>
      <w:r>
        <w:rPr>
          <w:rFonts w:ascii="Arial" w:cs="Arial" w:eastAsia="Arial" w:hAnsi="Arial"/>
          <w:b/>
          <w:bCs/>
          <w:color w:val="0F766E"/>
          <w:sz w:val="24"/>
          <w:szCs w:val="24"/>
        </w:rPr>
        <w:t xml:space="preserve">8. Audit Rights</w:t>
      </w:r>
    </w:p>
    <w:p>
      <w:pPr>
        <w:spacing w:after="80"/>
        <w:ind w:left="360"/>
      </w:pPr>
      <w:r>
        <w:rPr>
          <w:rFonts w:ascii="Arial" w:cs="Arial" w:eastAsia="Arial" w:hAnsi="Arial"/>
          <w:b/>
          <w:bCs/>
          <w:color w:val="0F172A"/>
          <w:sz w:val="21"/>
          <w:szCs w:val="21"/>
        </w:rPr>
        <w:t xml:space="preserve">8.1 </w:t>
      </w:r>
      <w:r>
        <w:rPr>
          <w:rFonts w:ascii="Arial" w:cs="Arial" w:eastAsia="Arial" w:hAnsi="Arial"/>
          <w:color w:val="0F172A"/>
          <w:sz w:val="21"/>
          <w:szCs w:val="21"/>
        </w:rPr>
        <w:t xml:space="preserve">The Processor shall make available to the Controller all information necessary to demonstrate compliance with Article 28 of the UK GDPR.</w:t>
      </w:r>
    </w:p>
    <w:p>
      <w:pPr>
        <w:spacing w:after="80"/>
        <w:ind w:left="360"/>
      </w:pPr>
      <w:r>
        <w:rPr>
          <w:rFonts w:ascii="Arial" w:cs="Arial" w:eastAsia="Arial" w:hAnsi="Arial"/>
          <w:b/>
          <w:bCs/>
          <w:color w:val="0F172A"/>
          <w:sz w:val="21"/>
          <w:szCs w:val="21"/>
        </w:rPr>
        <w:t xml:space="preserve">8.2 </w:t>
      </w:r>
      <w:r>
        <w:rPr>
          <w:rFonts w:ascii="Arial" w:cs="Arial" w:eastAsia="Arial" w:hAnsi="Arial"/>
          <w:color w:val="0F172A"/>
          <w:sz w:val="21"/>
          <w:szCs w:val="21"/>
        </w:rPr>
        <w:t xml:space="preserve">The Processor shall allow for and contribute to audits, including inspections, conducted by the Controller or an auditor mandated by the Controller, subject to reasonable notice.</w:t>
      </w:r>
    </w:p>
    <w:p>
      <w:pPr>
        <w:spacing w:after="150" w:before="300"/>
      </w:pPr>
      <w:r>
        <w:rPr>
          <w:rFonts w:ascii="Arial" w:cs="Arial" w:eastAsia="Arial" w:hAnsi="Arial"/>
          <w:b/>
          <w:bCs/>
          <w:color w:val="0F766E"/>
          <w:sz w:val="24"/>
          <w:szCs w:val="24"/>
        </w:rPr>
        <w:t xml:space="preserve">9. Liability and Indemnity</w:t>
      </w:r>
    </w:p>
    <w:p>
      <w:pPr>
        <w:spacing w:after="80"/>
        <w:ind w:left="360"/>
      </w:pPr>
      <w:r>
        <w:rPr>
          <w:rFonts w:ascii="Arial" w:cs="Arial" w:eastAsia="Arial" w:hAnsi="Arial"/>
          <w:b/>
          <w:bCs/>
          <w:color w:val="0F172A"/>
          <w:sz w:val="21"/>
          <w:szCs w:val="21"/>
        </w:rPr>
        <w:t xml:space="preserve">9.1 </w:t>
      </w:r>
      <w:r>
        <w:rPr>
          <w:rFonts w:ascii="Arial" w:cs="Arial" w:eastAsia="Arial" w:hAnsi="Arial"/>
          <w:color w:val="0F172A"/>
          <w:sz w:val="21"/>
          <w:szCs w:val="21"/>
        </w:rPr>
        <w:t xml:space="preserve">Each party shall be liable for its own breaches of data protection law. The Processor’s total liability under this Agreement shall not exceed the total fees paid by the Controller in the 12 months preceding the claim.</w:t>
      </w:r>
    </w:p>
    <w:p>
      <w:pPr>
        <w:spacing w:after="150" w:before="300"/>
      </w:pPr>
      <w:r>
        <w:rPr>
          <w:rFonts w:ascii="Arial" w:cs="Arial" w:eastAsia="Arial" w:hAnsi="Arial"/>
          <w:b/>
          <w:bCs/>
          <w:color w:val="0F766E"/>
          <w:sz w:val="24"/>
          <w:szCs w:val="24"/>
        </w:rPr>
        <w:t xml:space="preserve">10. General</w:t>
      </w:r>
    </w:p>
    <w:p>
      <w:pPr>
        <w:spacing w:after="80"/>
        <w:ind w:left="360"/>
      </w:pPr>
      <w:r>
        <w:rPr>
          <w:rFonts w:ascii="Arial" w:cs="Arial" w:eastAsia="Arial" w:hAnsi="Arial"/>
          <w:b/>
          <w:bCs/>
          <w:color w:val="0F172A"/>
          <w:sz w:val="21"/>
          <w:szCs w:val="21"/>
        </w:rPr>
        <w:t xml:space="preserve">10.1 </w:t>
      </w:r>
      <w:r>
        <w:rPr>
          <w:rFonts w:ascii="Arial" w:cs="Arial" w:eastAsia="Arial" w:hAnsi="Arial"/>
          <w:color w:val="0F172A"/>
          <w:sz w:val="21"/>
          <w:szCs w:val="21"/>
        </w:rPr>
        <w:t xml:space="preserve">This Agreement is governed by the laws of England and Wales.</w:t>
      </w:r>
    </w:p>
    <w:p>
      <w:pPr>
        <w:spacing w:after="80"/>
        <w:ind w:left="360"/>
      </w:pPr>
      <w:r>
        <w:rPr>
          <w:rFonts w:ascii="Arial" w:cs="Arial" w:eastAsia="Arial" w:hAnsi="Arial"/>
          <w:b/>
          <w:bCs/>
          <w:color w:val="0F172A"/>
          <w:sz w:val="21"/>
          <w:szCs w:val="21"/>
        </w:rPr>
        <w:t xml:space="preserve">10.2 </w:t>
      </w:r>
      <w:r>
        <w:rPr>
          <w:rFonts w:ascii="Arial" w:cs="Arial" w:eastAsia="Arial" w:hAnsi="Arial"/>
          <w:color w:val="0F172A"/>
          <w:sz w:val="21"/>
          <w:szCs w:val="21"/>
        </w:rPr>
        <w:t xml:space="preserve">Any amendments must be agreed in writing by both parties.</w:t>
      </w:r>
    </w:p>
    <w:p>
      <w:pPr>
        <w:spacing w:after="80"/>
        <w:ind w:left="360"/>
      </w:pPr>
      <w:r>
        <w:rPr>
          <w:rFonts w:ascii="Arial" w:cs="Arial" w:eastAsia="Arial" w:hAnsi="Arial"/>
          <w:b/>
          <w:bCs/>
          <w:color w:val="0F172A"/>
          <w:sz w:val="21"/>
          <w:szCs w:val="21"/>
        </w:rPr>
        <w:t xml:space="preserve">10.3 </w:t>
      </w:r>
      <w:r>
        <w:rPr>
          <w:rFonts w:ascii="Arial" w:cs="Arial" w:eastAsia="Arial" w:hAnsi="Arial"/>
          <w:color w:val="0F172A"/>
          <w:sz w:val="21"/>
          <w:szCs w:val="21"/>
        </w:rPr>
        <w:t xml:space="preserve">This Agreement supersedes any previous data processing terms between the parties in relation to spellbound.</w:t>
      </w:r>
    </w:p>
    <w:p>
      <w:r>
        <w:br w:type="page"/>
      </w:r>
    </w:p>
    <w:p>
      <w:pPr>
        <w:pStyle w:val="Heading1"/>
      </w:pPr>
      <w:r>
        <w:rPr>
          <w:rFonts w:ascii="Arial" w:cs="Arial" w:eastAsia="Arial" w:hAnsi="Arial"/>
          <w:b/>
          <w:bCs/>
          <w:color w:val="0F766E"/>
          <w:sz w:val="32"/>
          <w:szCs w:val="32"/>
        </w:rPr>
        <w:t xml:space="preserve">Schedule 1: Authorised Sub-processors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1800"/>
        <w:gridCol w:w="3226"/>
      </w:tblGrid>
      <w:tr>
        <w:tc>
          <w:tcPr>
            <w:tcW w:type="dxa" w:w="18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Sub-processor</w:t>
            </w:r>
          </w:p>
        </w:tc>
        <w:tc>
          <w:tcPr>
            <w:tcW w:type="dxa" w:w="22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Purpose</w:t>
            </w:r>
          </w:p>
        </w:tc>
        <w:tc>
          <w:tcPr>
            <w:tcW w:type="dxa" w:w="18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Location</w:t>
            </w:r>
          </w:p>
        </w:tc>
        <w:tc>
          <w:tcPr>
            <w:tcW w:type="dxa" w:w="3226"/>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Transfer Safeguard</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Neon (Neon Inc.)</w:t>
            </w:r>
          </w:p>
        </w:tc>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PostgreSQL database hosting (all personal data)</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EU (London)</w:t>
            </w:r>
          </w:p>
        </w:tc>
        <w:tc>
          <w:tcPr>
            <w:tcW w:type="dxa" w:w="32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No transfer required (EU adequacy)</w:t>
            </w:r>
          </w:p>
        </w:tc>
      </w:tr>
      <w:tr>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Vercel (Vercel Inc.)</w:t>
            </w:r>
          </w:p>
        </w:tc>
        <w:tc>
          <w:tcPr>
            <w:tcW w:type="dxa" w:w="22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Application hosting (serverless compute)</w:t>
            </w:r>
          </w:p>
        </w:tc>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United States</w:t>
            </w:r>
          </w:p>
        </w:tc>
        <w:tc>
          <w:tcPr>
            <w:tcW w:type="dxa" w:w="32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UK-US Data Bridge (Art. 45 UK GDPR)</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Upstash (Upstash Inc.)</w:t>
            </w:r>
          </w:p>
        </w:tc>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Redis (rate limiting only)</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EU (London)</w:t>
            </w:r>
          </w:p>
        </w:tc>
        <w:tc>
          <w:tcPr>
            <w:tcW w:type="dxa" w:w="32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No transfer required. Temporary IP data only (auto-expiry).</w:t>
            </w:r>
          </w:p>
        </w:tc>
      </w:tr>
      <w:tr>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Cloudflare (Cloudflare Inc.)</w:t>
            </w:r>
          </w:p>
        </w:tc>
        <w:tc>
          <w:tcPr>
            <w:tcW w:type="dxa" w:w="22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DNS, CDN, email routing</w:t>
            </w:r>
          </w:p>
        </w:tc>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Global</w:t>
            </w:r>
          </w:p>
        </w:tc>
        <w:tc>
          <w:tcPr>
            <w:tcW w:type="dxa" w:w="32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UK-US Data Bridge. No personal learner data.</w:t>
            </w:r>
          </w:p>
        </w:tc>
      </w:tr>
    </w:tbl>
    <w:p>
      <w:pPr>
        <w:spacing w:before="600"/>
      </w:pPr>
    </w:p>
    <w:p>
      <w:pPr>
        <w:pStyle w:val="Heading1"/>
      </w:pPr>
      <w:r>
        <w:rPr>
          <w:rFonts w:ascii="Arial" w:cs="Arial" w:eastAsia="Arial" w:hAnsi="Arial"/>
          <w:b/>
          <w:bCs/>
          <w:color w:val="0F766E"/>
          <w:sz w:val="32"/>
          <w:szCs w:val="32"/>
        </w:rPr>
        <w:t xml:space="preserve">Signatures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Data Controller</w:t>
            </w:r>
          </w:p>
        </w:tc>
        <w:tc>
          <w:tcPr>
            <w:tcW w:type="dxa" w:w="4513"/>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Data Processor</w:t>
            </w:r>
          </w:p>
        </w:tc>
      </w:tr>
      <w:tr>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Signed: ___________________________</w:t>
            </w:r>
          </w:p>
        </w:tc>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Signed: ___________________________</w:t>
            </w:r>
          </w:p>
        </w:tc>
      </w:tr>
      <w:tr>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Name: [Name]</w:t>
            </w:r>
          </w:p>
        </w:tc>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Name: Chris Goodall</w:t>
            </w:r>
          </w:p>
        </w:tc>
      </w:tr>
      <w:tr>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Role: [Role]</w:t>
            </w:r>
          </w:p>
        </w:tc>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Role: Director</w:t>
            </w:r>
          </w:p>
        </w:tc>
      </w:tr>
      <w:tr>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Organisation: [School/Trust]</w:t>
            </w:r>
          </w:p>
        </w:tc>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Organisation: Spark Apps Studio Ltd</w:t>
            </w:r>
          </w:p>
        </w:tc>
      </w:tr>
      <w:tr>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Date: [Date]</w:t>
            </w:r>
          </w:p>
        </w:tc>
        <w:tc>
          <w:tcPr>
            <w:tcW w:type="dxa" w:w="45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Date: [Date]</w:t>
            </w:r>
          </w:p>
        </w:tc>
      </w:tr>
    </w:tbl>
    <w:p>
      <w:pPr>
        <w:spacing w:before="400"/>
      </w:pPr>
    </w:p>
    <w:p>
      <w:pPr>
        <w:pBdr>
          <w:top w:val="single" w:color="0D9488" w:sz="4" w:space="8"/>
        </w:pBdr>
        <w:spacing w:before="200"/>
      </w:pPr>
      <w:r>
        <w:rPr>
          <w:rFonts w:ascii="Arial" w:cs="Arial" w:eastAsia="Arial" w:hAnsi="Arial"/>
          <w:i/>
          <w:iCs/>
          <w:color w:val="64748B"/>
          <w:sz w:val="18"/>
          <w:szCs w:val="18"/>
        </w:rPr>
        <w:t xml:space="preserve">This model Data Processing Agreement was prepared by Spark Apps Studio Ltd (Company No. 17109011, ICO Reg. C1882162). Schools should review this document with their Data Protection Officer before signing. For queries: privacy@spellbound-edu.co.uk</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space="4"/>
      </w:pBdr>
      <w:jc w:val="center"/>
    </w:pPr>
    <w:r>
      <w:rPr>
        <w:rFonts w:ascii="Arial" w:cs="Arial" w:eastAsia="Arial" w:hAnsi="Arial"/>
        <w:color w:val="64748B"/>
        <w:sz w:val="16"/>
        <w:szCs w:val="16"/>
      </w:rPr>
      <w:t xml:space="preserve">spellbound Model DPA  |  Spark Apps Studio Ltd  |  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9488" w:sz="6" w:space="4"/>
      </w:pBdr>
      <w:spacing w:after="200"/>
    </w:pPr>
    <w:r>
      <w:rPr>
        <w:rFonts w:ascii="Arial" w:cs="Arial" w:eastAsia="Arial" w:hAnsi="Arial"/>
        <w:b/>
        <w:bCs/>
        <w:color w:val="0D9488"/>
        <w:sz w:val="22"/>
        <w:szCs w:val="22"/>
      </w:rPr>
      <w:t xml:space="preserve">spellbound</w:t>
    </w:r>
    <w:r>
      <w:rPr>
        <w:rFonts w:ascii="Arial" w:cs="Arial" w:eastAsia="Arial" w:hAnsi="Arial"/>
        <w:color w:val="64748B"/>
        <w:sz w:val="18"/>
        <w:szCs w:val="18"/>
      </w:rPr>
      <w:t xml:space="preserve">  |  Model 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F172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766E"/>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2026-03-24T09:51:19.838Z</dcterms:created>
  <dcterms:modified xsi:type="dcterms:W3CDTF">2026-03-24T09:51:19.840Z</dcterms:modified>
</cp:coreProperties>
</file>

<file path=docProps/custom.xml><?xml version="1.0" encoding="utf-8"?>
<Properties xmlns="http://schemas.openxmlformats.org/officeDocument/2006/custom-properties" xmlns:vt="http://schemas.openxmlformats.org/officeDocument/2006/docPropsVTypes"/>
</file>